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6678F"/>
          <w:sz w:val="20"/>
          <w:szCs w:val="20"/>
        </w:rPr>
        <w:t xml:space="preserve">ROMOCONS — TỔNG THẦU THI CÔNG KHÁCH SẠN</w:t>
      </w:r>
    </w:p>
    <w:p>
      <w:pPr>
        <w:pBdr>
          <w:bottom w:val="single" w:color="16678F" w:sz="6" w:space="4"/>
        </w:pBdr>
        <w:spacing w:after="240"/>
        <w:jc w:val="center"/>
      </w:pPr>
      <w:r>
        <w:rPr>
          <w:b/>
          <w:bCs/>
          <w:color w:val="0F3D5C"/>
          <w:sz w:val="40"/>
          <w:szCs w:val="40"/>
        </w:rPr>
        <w:t xml:space="preserve">QUY TRÌNH CHỐNG THẤM KHÁCH SẠN</w:t>
      </w:r>
    </w:p>
    <w:p>
      <w:pPr>
        <w:spacing w:after="120"/>
      </w:pPr>
      <w:r>
        <w:rPr>
          <w:sz w:val="22"/>
          <w:szCs w:val="22"/>
        </w:rPr>
        <w:t xml:space="preserve">Tài liệu kỹ thuật tổng hợp quy trình, vật liệu và tiêu chuẩn chống thấm khách sạn — biên soạn từ kinh nghiệm thi công thực tế của Romocons trên hơn 12 dự án khách sạn boutique tại Hà Nội, Đà Nẵng và Hạ Long.</w:t>
      </w:r>
    </w:p>
    <w:p>
      <w:pPr>
        <w:pStyle w:val="Heading1"/>
      </w:pPr>
      <w:r>
        <w:t xml:space="preserve">1. Vì sao chống thấm khách sạn cần quy trình riêng</w:t>
      </w:r>
    </w:p>
    <w:p>
      <w:pPr>
        <w:spacing w:after="120"/>
      </w:pPr>
      <w:r>
        <w:rPr>
          <w:sz w:val="22"/>
          <w:szCs w:val="22"/>
        </w:rPr>
        <w:t xml:space="preserve">Khác với nhà ở dân dụng, khách sạn có mật độ khu vực ẩm ướt cực cao: mỗi phòng là một phòng tắm, cộng hồ bơi, spa, bếp nhà hàng và tầng hầm. Một khách sạn 30 phòng có thể có tới 30–35 điểm tiếp xúc nước thường xuyên. Chi phí chống thấm chỉ chiếm 2–4% giá trị xây thô, nhưng chi phí khắc phục về sau có thể gấp 8–10 lần.</w:t>
      </w:r>
    </w:p>
    <w:p>
      <w:pPr>
        <w:pStyle w:val="Heading1"/>
      </w:pPr>
      <w:r>
        <w:t xml:space="preserve">2. Năm khu vực trọng điểm cần chống thấm</w:t>
      </w:r>
    </w:p>
    <w:p>
      <w:pPr>
        <w:pStyle w:val="Heading2"/>
      </w:pPr>
      <w:r>
        <w:t xml:space="preserve">2.1. Phòng tắm (100% số phòng)</w:t>
      </w:r>
    </w:p>
    <w:p>
      <w:pPr>
        <w:pStyle w:val="ListParagraph"/>
        <w:numPr>
          <w:ilvl w:val="0"/>
          <w:numId w:val="2"/>
        </w:numPr>
      </w:pPr>
      <w:r>
        <w:rPr>
          <w:sz w:val="22"/>
          <w:szCs w:val="22"/>
        </w:rPr>
        <w:t xml:space="preserve">Lớp chống thấm phủ chân tường tối thiểu 20–30 cm.</w:t>
      </w:r>
    </w:p>
    <w:p>
      <w:pPr>
        <w:pStyle w:val="ListParagraph"/>
        <w:numPr>
          <w:ilvl w:val="0"/>
          <w:numId w:val="2"/>
        </w:numPr>
      </w:pPr>
      <w:r>
        <w:rPr>
          <w:sz w:val="22"/>
          <w:szCs w:val="22"/>
        </w:rPr>
        <w:t xml:space="preserve">Gia cố kỹ cổ ống thoát sàn — vị trí gây thấm phổ biến nhất.</w:t>
      </w:r>
    </w:p>
    <w:p>
      <w:pPr>
        <w:pStyle w:val="Heading2"/>
      </w:pPr>
      <w:r>
        <w:t xml:space="preserve">2.2. Hồ bơi</w:t>
      </w:r>
    </w:p>
    <w:p>
      <w:pPr>
        <w:pStyle w:val="ListParagraph"/>
        <w:numPr>
          <w:ilvl w:val="0"/>
          <w:numId w:val="2"/>
        </w:numPr>
      </w:pPr>
      <w:r>
        <w:rPr>
          <w:sz w:val="22"/>
          <w:szCs w:val="22"/>
        </w:rPr>
        <w:t xml:space="preserve">Chịu áp lực nước thủy tĩnh 24/7 và hóa chất clo.</w:t>
      </w:r>
    </w:p>
    <w:p>
      <w:pPr>
        <w:pStyle w:val="ListParagraph"/>
        <w:numPr>
          <w:ilvl w:val="0"/>
          <w:numId w:val="2"/>
        </w:numPr>
      </w:pPr>
      <w:r>
        <w:rPr>
          <w:sz w:val="22"/>
          <w:szCs w:val="22"/>
        </w:rPr>
        <w:t xml:space="preserve">Dùng tổ hợp: xi măng polymer + màng khò/PU cho góc cạnh.</w:t>
      </w:r>
    </w:p>
    <w:p>
      <w:pPr>
        <w:pStyle w:val="Heading2"/>
      </w:pPr>
      <w:r>
        <w:t xml:space="preserve">2.3. Mái và sân thượng</w:t>
      </w:r>
    </w:p>
    <w:p>
      <w:pPr>
        <w:pStyle w:val="ListParagraph"/>
        <w:numPr>
          <w:ilvl w:val="0"/>
          <w:numId w:val="2"/>
        </w:numPr>
      </w:pPr>
      <w:r>
        <w:rPr>
          <w:sz w:val="22"/>
          <w:szCs w:val="22"/>
        </w:rPr>
        <w:t xml:space="preserve">Ưu tiên màng bitum biến tính APP chịu nhiệt và chống UV.</w:t>
      </w:r>
    </w:p>
    <w:p>
      <w:pPr>
        <w:pStyle w:val="ListParagraph"/>
        <w:numPr>
          <w:ilvl w:val="0"/>
          <w:numId w:val="2"/>
        </w:numPr>
      </w:pPr>
      <w:r>
        <w:rPr>
          <w:sz w:val="22"/>
          <w:szCs w:val="22"/>
        </w:rPr>
        <w:t xml:space="preserve">Bảo vệ lớp màng bằng vữa cán hoặc gạch chống nóng.</w:t>
      </w:r>
    </w:p>
    <w:p>
      <w:pPr>
        <w:pStyle w:val="Heading2"/>
      </w:pPr>
      <w:r>
        <w:t xml:space="preserve">2.4. Tầng hầm</w:t>
      </w:r>
    </w:p>
    <w:p>
      <w:pPr>
        <w:pStyle w:val="ListParagraph"/>
        <w:numPr>
          <w:ilvl w:val="0"/>
          <w:numId w:val="2"/>
        </w:numPr>
      </w:pPr>
      <w:r>
        <w:rPr>
          <w:sz w:val="22"/>
          <w:szCs w:val="22"/>
        </w:rPr>
        <w:t xml:space="preserve">Xử lý thấm ngược do nước ngầm: chống thấm thuận từ mặt ngoài.</w:t>
      </w:r>
    </w:p>
    <w:p>
      <w:pPr>
        <w:pStyle w:val="ListParagraph"/>
        <w:numPr>
          <w:ilvl w:val="0"/>
          <w:numId w:val="2"/>
        </w:numPr>
      </w:pPr>
      <w:r>
        <w:rPr>
          <w:sz w:val="22"/>
          <w:szCs w:val="22"/>
        </w:rPr>
        <w:t xml:space="preserve">Băng cản nước PVC tại mạch ngừng + phụ gia chống thấm trộn bê tông.</w:t>
      </w:r>
    </w:p>
    <w:p>
      <w:pPr>
        <w:pStyle w:val="Heading2"/>
      </w:pPr>
      <w:r>
        <w:t xml:space="preserve">2.5. Khu bếp nhà hàng</w:t>
      </w:r>
    </w:p>
    <w:p>
      <w:pPr>
        <w:pStyle w:val="ListParagraph"/>
        <w:numPr>
          <w:ilvl w:val="0"/>
          <w:numId w:val="2"/>
        </w:numPr>
      </w:pPr>
      <w:r>
        <w:rPr>
          <w:sz w:val="22"/>
          <w:szCs w:val="22"/>
        </w:rPr>
        <w:t xml:space="preserve">Vật liệu chịu hóa chất tẩy rửa, dầu mỡ; đảm bảo độ dốc thoát sàn.</w:t>
      </w:r>
    </w:p>
    <w:p>
      <w:pPr>
        <w:pStyle w:val="Heading1"/>
      </w:pPr>
      <w:r>
        <w:t xml:space="preserve">3. So sánh nhanh vật liệu chống thấm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sz w:val="20"/>
                <w:szCs w:val="20"/>
              </w:rPr>
              <w:t xml:space="preserve">Vật liệu</w:t>
            </w:r>
          </w:p>
        </w:tc>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sz w:val="20"/>
                <w:szCs w:val="20"/>
              </w:rPr>
              <w:t xml:space="preserve">Khu vực phù hợp</w:t>
            </w:r>
          </w:p>
        </w:tc>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sz w:val="20"/>
                <w:szCs w:val="20"/>
              </w:rPr>
              <w:t xml:space="preserve">Tuổi thọ</w:t>
            </w:r>
          </w:p>
        </w:tc>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sz w:val="20"/>
                <w:szCs w:val="20"/>
              </w:rPr>
              <w:t xml:space="preserve">Tiêu chuẩn</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Màng khò Bitum</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Mái, hầm</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10–15 năm</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TCVN 9066:2012</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Màng/sơn PU</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Sân thượng, ban công</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7–10 năm</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TCVN 9065:2012</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Xi măng polymer</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Phòng tắm, hồ bơi</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8–12 năm</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TCVN 9067</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Thẩm thấu tinh thể</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Tầng hầm</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Theo bê tông</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w:t>
            </w:r>
          </w:p>
        </w:tc>
      </w:tr>
    </w:tbl>
    <w:p>
      <w:pPr>
        <w:pStyle w:val="Heading1"/>
      </w:pPr>
      <w:r>
        <w:t xml:space="preserve">4. Quy trình thi công 6 bước (chuẩn TCVN 9066:2012)</w:t>
      </w:r>
    </w:p>
    <w:p>
      <w:pPr>
        <w:pStyle w:val="ListParagraph"/>
        <w:numPr>
          <w:ilvl w:val="0"/>
          <w:numId w:val="3"/>
        </w:numPr>
      </w:pPr>
      <w:r>
        <w:rPr>
          <w:sz w:val="22"/>
          <w:szCs w:val="22"/>
        </w:rPr>
        <w:t xml:space="preserve">Vệ sinh và xử lý bề mặt: làm sạch bụi, dầu mỡ, vảy bê tông; trám vá lồi lõm.</w:t>
      </w:r>
    </w:p>
    <w:p>
      <w:pPr>
        <w:pStyle w:val="ListParagraph"/>
        <w:numPr>
          <w:ilvl w:val="0"/>
          <w:numId w:val="3"/>
        </w:numPr>
      </w:pPr>
      <w:r>
        <w:rPr>
          <w:sz w:val="22"/>
          <w:szCs w:val="22"/>
        </w:rPr>
        <w:t xml:space="preserve">Quét lớp lót Primer tăng độ bám dính.</w:t>
      </w:r>
    </w:p>
    <w:p>
      <w:pPr>
        <w:pStyle w:val="ListParagraph"/>
        <w:numPr>
          <w:ilvl w:val="0"/>
          <w:numId w:val="3"/>
        </w:numPr>
      </w:pPr>
      <w:r>
        <w:rPr>
          <w:sz w:val="22"/>
          <w:szCs w:val="22"/>
        </w:rPr>
        <w:t xml:space="preserve">Gia cố điểm xung yếu: cổ ống, chân tường, góc cạnh, mạch ngừng.</w:t>
      </w:r>
    </w:p>
    <w:p>
      <w:pPr>
        <w:pStyle w:val="ListParagraph"/>
        <w:numPr>
          <w:ilvl w:val="0"/>
          <w:numId w:val="3"/>
        </w:numPr>
      </w:pPr>
      <w:r>
        <w:rPr>
          <w:sz w:val="22"/>
          <w:szCs w:val="22"/>
        </w:rPr>
        <w:t xml:space="preserve">Thi công lớp chống thấm chính, hàn kín các mối nối.</w:t>
      </w:r>
    </w:p>
    <w:p>
      <w:pPr>
        <w:pStyle w:val="ListParagraph"/>
        <w:numPr>
          <w:ilvl w:val="0"/>
          <w:numId w:val="3"/>
        </w:numPr>
      </w:pPr>
      <w:r>
        <w:rPr>
          <w:sz w:val="22"/>
          <w:szCs w:val="22"/>
        </w:rPr>
        <w:t xml:space="preserve">Ngâm thử nước 24–48 giờ kiểm tra điểm rò (bắt buộc).</w:t>
      </w:r>
    </w:p>
    <w:p>
      <w:pPr>
        <w:pStyle w:val="ListParagraph"/>
        <w:numPr>
          <w:ilvl w:val="0"/>
          <w:numId w:val="3"/>
        </w:numPr>
      </w:pPr>
      <w:r>
        <w:rPr>
          <w:sz w:val="22"/>
          <w:szCs w:val="22"/>
        </w:rPr>
        <w:t xml:space="preserve">Cán lớp bảo vệ, nghiệm thu và lập biên bản bảo hành.</w:t>
      </w:r>
    </w:p>
    <w:p>
      <w:pPr>
        <w:pStyle w:val="Heading1"/>
      </w:pPr>
      <w:r>
        <w:t xml:space="preserve">5. Chi phí tham khảo theo m²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sz w:val="20"/>
                <w:szCs w:val="20"/>
              </w:rPr>
              <w:t xml:space="preserve">Hạng mục</w:t>
            </w:r>
          </w:p>
        </w:tc>
        <w:tc>
          <w:tcPr>
            <w:tcW w:type="dxa" w:w="4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sz w:val="20"/>
                <w:szCs w:val="20"/>
              </w:rPr>
              <w:t xml:space="preserve">Đơn giá (VND/m²)</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Sàn phòng tắm</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150.000 – 250.000</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Mái, sân thượng</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180.000 – 320.000</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Hồ bơi</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300.000 – 550.000</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Tầng hầm</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250.000 – 450.000</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Sàn bếp</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sz w:val="20"/>
                <w:szCs w:val="20"/>
              </w:rPr>
              <w:t xml:space="preserve">200.000 – 350.000</w:t>
            </w:r>
          </w:p>
        </w:tc>
      </w:tr>
    </w:tbl>
    <w:p>
      <w:pPr>
        <w:spacing w:before="100"/>
      </w:pPr>
      <w:r>
        <w:rPr>
          <w:i/>
          <w:iCs/>
          <w:color w:val="888888"/>
          <w:sz w:val="18"/>
          <w:szCs w:val="18"/>
        </w:rPr>
        <w:t xml:space="preserve">Đơn giá biến động theo thương hiệu vật tư, diện tích và mặt bằng thi công.</w:t>
      </w:r>
    </w:p>
    <w:p>
      <w:pPr>
        <w:pStyle w:val="Heading1"/>
      </w:pPr>
      <w:r>
        <w:t xml:space="preserve">6. Checklist nghiệm thu chống thấm</w:t>
      </w:r>
    </w:p>
    <w:p>
      <w:pPr>
        <w:pStyle w:val="ListParagraph"/>
        <w:numPr>
          <w:ilvl w:val="0"/>
          <w:numId w:val="2"/>
        </w:numPr>
      </w:pPr>
      <w:r>
        <w:rPr>
          <w:sz w:val="22"/>
          <w:szCs w:val="22"/>
        </w:rPr>
        <w:t xml:space="preserve">Đã ngâm thử nước đủ 24–48 giờ, không phát hiện điểm rò.</w:t>
      </w:r>
    </w:p>
    <w:p>
      <w:pPr>
        <w:pStyle w:val="ListParagraph"/>
        <w:numPr>
          <w:ilvl w:val="0"/>
          <w:numId w:val="2"/>
        </w:numPr>
      </w:pPr>
      <w:r>
        <w:rPr>
          <w:sz w:val="22"/>
          <w:szCs w:val="22"/>
        </w:rPr>
        <w:t xml:space="preserve">Lớp chống thấm phủ đủ chiều cao chân tường.</w:t>
      </w:r>
    </w:p>
    <w:p>
      <w:pPr>
        <w:pStyle w:val="ListParagraph"/>
        <w:numPr>
          <w:ilvl w:val="0"/>
          <w:numId w:val="2"/>
        </w:numPr>
      </w:pPr>
      <w:r>
        <w:rPr>
          <w:sz w:val="22"/>
          <w:szCs w:val="22"/>
        </w:rPr>
        <w:t xml:space="preserve">Cổ ống, mạch ngừng, góc cạnh được gia cố.</w:t>
      </w:r>
    </w:p>
    <w:p>
      <w:pPr>
        <w:pStyle w:val="ListParagraph"/>
        <w:numPr>
          <w:ilvl w:val="0"/>
          <w:numId w:val="2"/>
        </w:numPr>
      </w:pPr>
      <w:r>
        <w:rPr>
          <w:sz w:val="22"/>
          <w:szCs w:val="22"/>
        </w:rPr>
        <w:t xml:space="preserve">Có biên bản nghiệm thu và cam kết bảo hành 5–10 năm.</w:t>
      </w:r>
    </w:p>
    <w:p>
      <w:pPr>
        <w:shd w:fill="0F3D5C" w:val="clear"/>
        <w:spacing w:before="300"/>
        <w:jc w:val="center"/>
      </w:pPr>
      <w:r>
        <w:rPr>
          <w:b/>
          <w:bCs/>
          <w:color w:val="FFFFFF"/>
          <w:sz w:val="24"/>
          <w:szCs w:val="24"/>
        </w:rPr>
        <w:t xml:space="preserve">Cần tư vấn giải pháp chống thấm cho dự án của bạn?</w:t>
      </w:r>
    </w:p>
    <w:p>
      <w:pPr>
        <w:shd w:fill="0F3D5C" w:val="clear"/>
        <w:spacing w:after="200"/>
        <w:jc w:val="center"/>
      </w:pPr>
      <w:r>
        <w:rPr>
          <w:color w:val="FFFFFF"/>
          <w:sz w:val="22"/>
          <w:szCs w:val="22"/>
        </w:rPr>
        <w:t xml:space="preserve">Romocons — Hotline 098 374 94 86 — romocons.vn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ROMOCONS — romocons.vn — Hotline: 098 374 94 86   |   Trang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0F3D5C"/>
      <w:sz w:val="30"/>
      <w:szCs w:val="30"/>
    </w:rPr>
  </w:style>
  <w:style w:type="paragraph" w:styleId="Heading2">
    <w:name w:val="Heading 2"/>
    <w:basedOn w:val="Normal"/>
    <w:next w:val="Normal"/>
    <w:qFormat/>
    <w:pPr>
      <w:spacing w:after="120" w:before="180"/>
      <w:outlineLvl w:val="1"/>
    </w:pPr>
    <w:rPr>
      <w:rFonts w:ascii="Arial" w:cs="Arial" w:eastAsia="Arial" w:hAnsi="Arial"/>
      <w:b/>
      <w:bCs/>
      <w:color w:val="16678F"/>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2026-06-09T08:17:28.401Z</dcterms:created>
  <dcterms:modified xsi:type="dcterms:W3CDTF">2026-06-09T08:17:28.401Z</dcterms:modified>
</cp:coreProperties>
</file>

<file path=docProps/custom.xml><?xml version="1.0" encoding="utf-8"?>
<Properties xmlns="http://schemas.openxmlformats.org/officeDocument/2006/custom-properties" xmlns:vt="http://schemas.openxmlformats.org/officeDocument/2006/docPropsVTypes"/>
</file>